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蓝魔方  户外产品</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感统游戏区（独轮车）</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69865" cy="4243705"/>
            <wp:effectExtent l="12700" t="12700" r="13335" b="29845"/>
            <wp:docPr id="6" name="图片 6" descr="独轮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独轮车1"/>
                    <pic:cNvPicPr>
                      <a:picLocks noChangeAspect="1"/>
                    </pic:cNvPicPr>
                  </pic:nvPicPr>
                  <pic:blipFill>
                    <a:blip r:embed="rId6"/>
                    <a:stretch>
                      <a:fillRect/>
                    </a:stretch>
                  </pic:blipFill>
                  <pic:spPr>
                    <a:xfrm>
                      <a:off x="0" y="0"/>
                      <a:ext cx="5269865" cy="4243705"/>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60288;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lang w:eastAsia="zh-CN"/>
        </w:rPr>
      </w:pPr>
      <w:r>
        <w:rPr>
          <w:rFonts w:hint="eastAsia" w:ascii="微软雅黑" w:hAnsi="微软雅黑" w:eastAsia="微软雅黑" w:cs="微软雅黑"/>
          <w:b w:val="0"/>
          <w:bCs/>
          <w:lang w:val="en-US" w:eastAsia="zh-CN"/>
        </w:rPr>
        <w:t>Kindergarten environment solution provider</w:t>
      </w:r>
    </w:p>
    <w:p>
      <w:pPr>
        <w:pStyle w:val="2"/>
        <w:numPr>
          <w:ilvl w:val="0"/>
          <w:numId w:val="0"/>
        </w:numPr>
        <w:bidi w:val="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w:t>
      </w:r>
      <w:r>
        <w:rPr>
          <w:rFonts w:hint="eastAsia" w:ascii="微软雅黑" w:hAnsi="微软雅黑" w:eastAsia="微软雅黑" w:cs="微软雅黑"/>
          <w:b w:val="0"/>
          <w:bCs w:val="0"/>
          <w:kern w:val="2"/>
          <w:sz w:val="20"/>
          <w:szCs w:val="20"/>
          <w:u w:val="none"/>
          <w:lang w:val="en-US" w:eastAsia="zh-CN" w:bidi="ar-SA"/>
        </w:rPr>
        <w:t xml:space="preserve">独轮车                                      </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 xml:space="preserve">LMF-CJ01 </w:t>
      </w:r>
    </w:p>
    <w:p>
      <w:pPr>
        <w:pStyle w:val="2"/>
        <w:numPr>
          <w:ilvl w:val="0"/>
          <w:numId w:val="0"/>
        </w:numPr>
        <w:bidi w:val="0"/>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kern w:val="2"/>
          <w:sz w:val="20"/>
          <w:szCs w:val="20"/>
          <w:u w:val="none"/>
          <w:lang w:val="en-US" w:eastAsia="zh-CN" w:bidi="ar-SA"/>
        </w:rPr>
        <w:t>部件名称：1-车右把杆（高跷）；2-车左把杆（高跷）；3-车座板（木琴）；4-车轮（碾轮）；5-连接杆（木琴棒）</w:t>
      </w:r>
    </w:p>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drawing>
          <wp:inline distT="0" distB="0" distL="114300" distR="114300">
            <wp:extent cx="5257800" cy="3943350"/>
            <wp:effectExtent l="0" t="0" r="0" b="0"/>
            <wp:docPr id="22" name="图片 22" descr="独轮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独轮车2"/>
                    <pic:cNvPicPr>
                      <a:picLocks noChangeAspect="1"/>
                    </pic:cNvPicPr>
                  </pic:nvPicPr>
                  <pic:blipFill>
                    <a:blip r:embed="rId8"/>
                    <a:stretch>
                      <a:fillRect/>
                    </a:stretch>
                  </pic:blipFill>
                  <pic:spPr>
                    <a:xfrm>
                      <a:off x="0" y="0"/>
                      <a:ext cx="5257800" cy="3943350"/>
                    </a:xfrm>
                    <a:prstGeom prst="rect">
                      <a:avLst/>
                    </a:prstGeom>
                  </pic:spPr>
                </pic:pic>
              </a:graphicData>
            </a:graphic>
          </wp:inline>
        </w:drawing>
      </w:r>
    </w:p>
    <w:p>
      <w:pPr>
        <w:pStyle w:val="15"/>
        <w:jc w:val="center"/>
        <w:rPr>
          <w:rFonts w:hint="default" w:ascii="微软雅黑" w:hAnsi="微软雅黑" w:eastAsia="微软雅黑" w:cs="微软雅黑"/>
          <w:b/>
          <w:bCs w:val="0"/>
          <w:sz w:val="20"/>
          <w:szCs w:val="20"/>
          <w:lang w:val="en-US" w:eastAsia="zh-CN"/>
        </w:rPr>
      </w:pPr>
      <w:r>
        <w:rPr>
          <w:rFonts w:hint="eastAsia" w:ascii="微软雅黑" w:hAnsi="微软雅黑" w:eastAsia="微软雅黑" w:cs="微软雅黑"/>
          <w:b/>
          <w:bCs w:val="0"/>
          <w:sz w:val="20"/>
          <w:szCs w:val="20"/>
          <w:lang w:val="en-US" w:eastAsia="zh-CN"/>
        </w:rPr>
        <w:t>部件为效果展示，产品以实物为准</w:t>
      </w:r>
    </w:p>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木材是一种天然的有机材料，可能会有具有结头，开裂和铜锈。木材的外观随气候条件和湿度的变化而变化。这些现象并不是不完美的表现；它们是完全自然的，给我们的游戏场装备带来了自然的外观和具有冒险性的设计。</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2.由于木材的张力会在桩端和桩侧造成开裂，</w:t>
      </w:r>
      <w:r>
        <w:rPr>
          <w:rFonts w:hint="eastAsia" w:ascii="微软雅黑" w:hAnsi="微软雅黑" w:eastAsia="微软雅黑" w:cs="微软雅黑"/>
          <w:b w:val="0"/>
          <w:bCs w:val="0"/>
          <w:color w:val="3B3838" w:themeColor="background2" w:themeShade="40"/>
          <w:sz w:val="20"/>
          <w:szCs w:val="20"/>
          <w:lang w:eastAsia="zh-CN"/>
        </w:rPr>
        <w:t>这些开裂不会影响结构强度，也不会带来任何腐烂或真菌的风险。这是原木的正常现象，通常不会造成安全或质量问题。</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3.</w:t>
      </w:r>
      <w:r>
        <w:rPr>
          <w:rFonts w:hint="eastAsia" w:ascii="微软雅黑" w:hAnsi="微软雅黑" w:eastAsia="微软雅黑" w:cs="微软雅黑"/>
          <w:b w:val="0"/>
          <w:bCs w:val="0"/>
          <w:color w:val="3B3838" w:themeColor="background2" w:themeShade="40"/>
          <w:sz w:val="20"/>
          <w:szCs w:val="20"/>
          <w:lang w:eastAsia="zh-CN"/>
        </w:rPr>
        <w:t>在常规检查和维护期间，如果在游戏装备的主要部分出现严重变形或开裂，则必须处理解决。例如，如果一个开口出现在一个受力移动的结构附近，则根据当前的安全标准，需检查并处理开裂问题。如果木材的变形不违反当前的安全标准，则可视为原木装备的一大优势！</w:t>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二、功能特点</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多种功能：</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1.收纳运输工具。</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2.儿童平衡感训练材料。</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3.儿童动手能力训练材料。</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4.儿童社会性游戏材料。</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创意特点：</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1.榫卯结构设计，不用一颗螺丝。</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2.方便儿童组装，鼓励体验操作。</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3.1辆车等于4件玩具，多种玩法，无限创意。</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4.温良木性，传统造型，儿时最美的回忆。</w:t>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三、玩法建议</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1.整装时是独轮车</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幼儿前庭觉与本体觉训练：推独轮车，看谁推的稳。</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亲子运动会游戏：孩子坐在独轮车上，爸爸推着跑，看谁最先到终点。</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幼儿收纳用车：将凌乱的玩具用独轮车推回收纳柜，从小培养儿童收纳好习惯。</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2.拆分，车把手变高跷，儿童前庭觉训练。大班儿童专用。</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3.拆分，车箱变木琴，儿童听觉训练。儿童用拆分出来的木棒划过或敲打木箱板，聆听音节的变化。</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4.拆分，独轮变碾轮，儿童听觉与本体觉训练。儿童双手持柄，碾过地面的不同材质，感受不同的质感、聆听不同材质被碾过的声音。</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5.组装训练，儿童动手能力与建构思维培养。也可多名儿童配合组装，培养良好团队协作精神。</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7" name="图片 17"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1.安装说明电子文件获取方式</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您可以在蓝魔方官网找到许多相关资料。安装指导说明对于查找零部件非常重要，它一般随货发送，如果遗失或损坏，可直接扫描玩法建议部分的二维码，或者访问下面网址的网站下载。</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请按以下步骤操作获取：</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1）百度搜索“武汉蓝魔方”或直接输入网址：</w:t>
      </w:r>
      <w:r>
        <w:rPr>
          <w:rFonts w:hint="eastAsia" w:ascii="微软雅黑" w:hAnsi="微软雅黑" w:eastAsia="微软雅黑" w:cs="微软雅黑"/>
          <w:b w:val="0"/>
          <w:bCs w:val="0"/>
          <w:sz w:val="20"/>
          <w:szCs w:val="20"/>
          <w:u w:val="none"/>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2）拉动网页至网站底部，点击服务与支持，找到对应产品手册文件后下载或直接查阅；</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3）所有技术资料可以直接打开或下载。</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五、维护建议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sz w:val="20"/>
          <w:szCs w:val="20"/>
          <w:lang w:eastAsia="zh-CN"/>
        </w:rPr>
      </w:pP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2）关键连接处的维护，这点特别重要。</w:t>
      </w:r>
      <w:r>
        <w:rPr>
          <w:rFonts w:hint="eastAsia" w:ascii="微软雅黑" w:hAnsi="微软雅黑" w:eastAsia="微软雅黑" w:cs="微软雅黑"/>
          <w:b w:val="0"/>
          <w:bCs w:val="0"/>
          <w:sz w:val="20"/>
          <w:szCs w:val="20"/>
          <w:lang w:eastAsia="zh-CN"/>
        </w:rPr>
        <w:t>随着时间推移，一些连接处会因为频繁使用或摇晃变的松动。松动的部件会造成夹伤、撞伤、或尖锐处刺伤等危险情况。所以确保经常检查所有的连接处常重要。</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3）产品</w:t>
      </w:r>
      <w:r>
        <w:rPr>
          <w:rFonts w:hint="eastAsia" w:ascii="微软雅黑" w:hAnsi="微软雅黑" w:eastAsia="微软雅黑" w:cs="微软雅黑"/>
          <w:b w:val="0"/>
          <w:bCs w:val="0"/>
          <w:sz w:val="20"/>
          <w:szCs w:val="20"/>
          <w:lang w:eastAsia="zh-CN"/>
        </w:rPr>
        <w:t>表面应始终保持清洁，避免任何可见的异物，如垃圾、树叶、树皮、沙子、泥巴等。如果树叶或任何其他有机碎屑长时间覆盖该区域，可能会导致腐烂并导致黑点、藻类、苔藓、杂草或真菌，也可能降低防滑功能。根据使用水平、位置和周围条件，建议每天、每周或每月清扫表面。在维护检查期间，还建议检查形状、车轮、边缘和关键连接部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如果您对蓝魔方装备产品有任何疑问，请随时联系我们。</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如果各部件有磨损或开裂应及时加固处理，如果部件磨损超过</w:t>
      </w:r>
      <w:r>
        <w:rPr>
          <w:rFonts w:hint="eastAsia" w:ascii="微软雅黑" w:hAnsi="微软雅黑" w:eastAsia="微软雅黑" w:cs="微软雅黑"/>
          <w:b w:val="0"/>
          <w:bCs w:val="0"/>
          <w:sz w:val="20"/>
          <w:szCs w:val="20"/>
          <w:lang w:val="en-US" w:eastAsia="zh-CN"/>
        </w:rPr>
        <w:t>20%或者断裂应进行更换。</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所有维修工作都应由专业人员进行。</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木材表面的保养建议按每年保养一次，具体清理木材表面的污渍后用砂纸将木材表面打磨均匀，再用清水或中性洗涤剂擦洗表面，干燥后用木蜡油对木材表面做好保护处理，来增强其表面的防水防污性能和使用寿命。</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不锈钢部件（车轮轴承）表面的保养建议按每半年保养一次，具体用柔软的布擦干净后用清水或中性洗涤剂清洗。清洗不锈钢表面时必须注意不发生表面划伤现象，避免使用漂白成份以及研磨剂的洗涤液、钢丝球、研磨工具等，为除掉洗涤液，洗涤结束时用清水冲洗表面擦干上油。</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90" w:hRule="atLeast"/>
        </w:trPr>
        <w:tc>
          <w:tcPr>
            <w:tcW w:w="1301"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连接件</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检查是否有断裂或遗失</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如有必要，应维修或更换。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活动部件</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检查活动部分是否工作正常。</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如有必要请更换。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车轮</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磨损超过</w:t>
            </w: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lang w:eastAsia="zh-CN"/>
              </w:rPr>
              <w:t>0%进行更换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轮轴承</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发生异响应检查上油，影响使用应进行更换。</w:t>
            </w:r>
          </w:p>
        </w:tc>
        <w:tc>
          <w:tcPr>
            <w:tcW w:w="493" w:type="dxa"/>
            <w:shd w:val="clear" w:color="auto" w:fill="FFFFFF"/>
            <w:vAlign w:val="center"/>
          </w:tcPr>
          <w:p>
            <w:pPr>
              <w:pStyle w:val="18"/>
              <w:jc w:val="center"/>
              <w:rPr>
                <w:rFonts w:hint="eastAsia" w:ascii="微软雅黑" w:hAnsi="微软雅黑" w:eastAsia="微软雅黑" w:cs="微软雅黑"/>
                <w:color w:val="3C3C3C" w:themeColor="text1" w:themeTint="D9"/>
                <w:kern w:val="2"/>
                <w:sz w:val="16"/>
                <w:szCs w:val="16"/>
                <w:lang w:val="en-US"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GoBack"/>
            <w:bookmarkEnd w:id="0"/>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3"/>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4"/>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4"/>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15" name="图片 15"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版权归武汉蓝魔方文化发展公司所有</w:t>
      </w:r>
    </w:p>
    <w:p>
      <w:pPr>
        <w:pStyle w:val="11"/>
        <w:bidi w:val="0"/>
        <w:rPr>
          <w:rFonts w:hint="default" w:ascii="微软雅黑" w:hAnsi="微软雅黑" w:eastAsia="微软雅黑" w:cs="微软雅黑"/>
          <w:b w:val="0"/>
          <w:bCs w:val="0"/>
          <w:color w:val="3B3838" w:themeColor="background2" w:themeShade="40"/>
          <w:sz w:val="10"/>
          <w:szCs w:val="10"/>
          <w:lang w:val="en-US" w:eastAsia="zh-CN"/>
        </w:rPr>
      </w:pPr>
      <w:r>
        <w:rPr>
          <w:rFonts w:hint="eastAsia" w:ascii="微软雅黑" w:hAnsi="微软雅黑" w:eastAsia="微软雅黑" w:cs="微软雅黑"/>
          <w:sz w:val="24"/>
          <w:szCs w:val="24"/>
          <w:lang w:val="en-US" w:eastAsia="zh-CN"/>
        </w:rPr>
        <w:t>客服中心电话：027-87873488</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22A2"/>
    <w:rsid w:val="0CD4724C"/>
    <w:rsid w:val="0F9F3AC5"/>
    <w:rsid w:val="10E05857"/>
    <w:rsid w:val="11141BDE"/>
    <w:rsid w:val="135944AC"/>
    <w:rsid w:val="168D584D"/>
    <w:rsid w:val="18746267"/>
    <w:rsid w:val="23357445"/>
    <w:rsid w:val="260C6593"/>
    <w:rsid w:val="2B542891"/>
    <w:rsid w:val="2CE2317D"/>
    <w:rsid w:val="2EE5611C"/>
    <w:rsid w:val="302C73CB"/>
    <w:rsid w:val="33AB7B69"/>
    <w:rsid w:val="3782785E"/>
    <w:rsid w:val="3A9C1CE5"/>
    <w:rsid w:val="3C8D750E"/>
    <w:rsid w:val="3D2A5770"/>
    <w:rsid w:val="3D9F60E2"/>
    <w:rsid w:val="40B421F2"/>
    <w:rsid w:val="40C86858"/>
    <w:rsid w:val="41E919C1"/>
    <w:rsid w:val="4B274488"/>
    <w:rsid w:val="57AA6D75"/>
    <w:rsid w:val="5A1B1196"/>
    <w:rsid w:val="67A71EC3"/>
    <w:rsid w:val="69873B13"/>
    <w:rsid w:val="71B4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2021-05-12T03:08:58Z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